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C8B9" w14:textId="157A1DA1" w:rsidR="009D5E0B" w:rsidRPr="00F31EAC" w:rsidRDefault="009D5E0B">
      <w:pPr>
        <w:jc w:val="center"/>
        <w:rPr>
          <w:rFonts w:ascii="Arial" w:eastAsia="Arial" w:hAnsi="Arial" w:cs="Arial"/>
          <w:b/>
          <w:bCs/>
        </w:rPr>
      </w:pPr>
    </w:p>
    <w:p w14:paraId="08CF77F1" w14:textId="6B9D2AF4" w:rsidR="006E2FA3" w:rsidRDefault="006E2FA3">
      <w:pPr>
        <w:jc w:val="center"/>
        <w:rPr>
          <w:rFonts w:ascii="Arial" w:eastAsia="Arial" w:hAnsi="Arial" w:cs="Arial"/>
          <w:b/>
          <w:bCs/>
        </w:rPr>
      </w:pPr>
    </w:p>
    <w:p w14:paraId="0785CC1A" w14:textId="32F3C5DB" w:rsidR="00A8170A" w:rsidRDefault="00A8170A">
      <w:pPr>
        <w:jc w:val="center"/>
        <w:rPr>
          <w:rFonts w:ascii="Arial" w:eastAsia="Arial" w:hAnsi="Arial" w:cs="Arial"/>
          <w:b/>
          <w:bCs/>
        </w:rPr>
      </w:pPr>
    </w:p>
    <w:p w14:paraId="4CFA362E" w14:textId="77777777" w:rsidR="00A8170A" w:rsidRPr="00F31EAC" w:rsidRDefault="00A8170A">
      <w:pPr>
        <w:jc w:val="center"/>
        <w:rPr>
          <w:rFonts w:ascii="Arial" w:eastAsia="Arial" w:hAnsi="Arial" w:cs="Arial"/>
          <w:b/>
          <w:bCs/>
        </w:rPr>
      </w:pPr>
    </w:p>
    <w:p w14:paraId="49760758" w14:textId="77777777" w:rsidR="009D5E0B" w:rsidRPr="00F31EAC" w:rsidRDefault="009D5E0B">
      <w:pPr>
        <w:tabs>
          <w:tab w:val="center" w:pos="4607"/>
          <w:tab w:val="left" w:pos="8445"/>
        </w:tabs>
        <w:rPr>
          <w:rFonts w:ascii="Arial" w:eastAsia="Arial" w:hAnsi="Arial" w:cs="Arial"/>
          <w:b/>
          <w:bCs/>
        </w:rPr>
      </w:pPr>
    </w:p>
    <w:p w14:paraId="5004A645" w14:textId="34D0CD14" w:rsidR="00A55E6C" w:rsidRPr="00F31EAC" w:rsidRDefault="00A155B3" w:rsidP="00A55E6C">
      <w:pPr>
        <w:jc w:val="center"/>
        <w:rPr>
          <w:rFonts w:ascii="Arial" w:hAnsi="Arial" w:cs="Arial"/>
          <w:b/>
          <w:bCs/>
        </w:rPr>
      </w:pPr>
      <w:r w:rsidRPr="00F31EAC">
        <w:rPr>
          <w:rFonts w:ascii="Arial" w:eastAsia="Arial" w:hAnsi="Arial" w:cs="Arial"/>
          <w:b/>
          <w:bCs/>
        </w:rPr>
        <w:tab/>
      </w:r>
      <w:r w:rsidR="00C50D97" w:rsidRPr="00F31EAC">
        <w:rPr>
          <w:rFonts w:ascii="Arial" w:hAnsi="Arial" w:cs="Arial"/>
          <w:b/>
          <w:bCs/>
        </w:rPr>
        <w:t>CIRCULAR</w:t>
      </w:r>
      <w:r w:rsidR="00A55E6C" w:rsidRPr="00F31EAC">
        <w:rPr>
          <w:rFonts w:ascii="Arial" w:hAnsi="Arial" w:cs="Arial"/>
          <w:b/>
          <w:bCs/>
        </w:rPr>
        <w:t xml:space="preserve"> </w:t>
      </w:r>
      <w:r w:rsidR="00BF0AD4" w:rsidRPr="00F31EAC">
        <w:rPr>
          <w:rFonts w:ascii="Arial" w:hAnsi="Arial" w:cs="Arial"/>
          <w:b/>
          <w:bCs/>
        </w:rPr>
        <w:t>EXTERNA</w:t>
      </w:r>
      <w:r w:rsidR="00D57E29" w:rsidRPr="00F31EAC">
        <w:rPr>
          <w:rFonts w:ascii="Arial" w:hAnsi="Arial" w:cs="Arial"/>
          <w:b/>
          <w:bCs/>
        </w:rPr>
        <w:t xml:space="preserve">     </w:t>
      </w:r>
      <w:r w:rsidR="0038326A">
        <w:rPr>
          <w:rFonts w:ascii="Arial" w:hAnsi="Arial" w:cs="Arial"/>
          <w:b/>
          <w:bCs/>
        </w:rPr>
        <w:t>00</w:t>
      </w:r>
      <w:r w:rsidR="00205282">
        <w:rPr>
          <w:rFonts w:ascii="Arial" w:hAnsi="Arial" w:cs="Arial"/>
          <w:b/>
          <w:bCs/>
        </w:rPr>
        <w:t>9</w:t>
      </w:r>
      <w:r w:rsidR="00D57E29" w:rsidRPr="00F31EAC">
        <w:rPr>
          <w:rFonts w:ascii="Arial" w:hAnsi="Arial" w:cs="Arial"/>
          <w:b/>
          <w:bCs/>
        </w:rPr>
        <w:t xml:space="preserve">    </w:t>
      </w:r>
      <w:r w:rsidR="00A55E6C" w:rsidRPr="00F31EAC">
        <w:rPr>
          <w:rFonts w:ascii="Arial" w:hAnsi="Arial" w:cs="Arial"/>
          <w:b/>
          <w:bCs/>
        </w:rPr>
        <w:t xml:space="preserve"> DE 20</w:t>
      </w:r>
      <w:r w:rsidR="00D57E29" w:rsidRPr="00F31EAC">
        <w:rPr>
          <w:rFonts w:ascii="Arial" w:hAnsi="Arial" w:cs="Arial"/>
          <w:b/>
          <w:bCs/>
        </w:rPr>
        <w:t>20</w:t>
      </w:r>
    </w:p>
    <w:p w14:paraId="69EDBF53" w14:textId="35FD5176" w:rsidR="00BF0AD4" w:rsidRDefault="00BF0AD4" w:rsidP="00A55E6C">
      <w:pPr>
        <w:jc w:val="center"/>
        <w:rPr>
          <w:rFonts w:ascii="Arial" w:hAnsi="Arial" w:cs="Arial"/>
          <w:b/>
          <w:bCs/>
        </w:rPr>
      </w:pPr>
    </w:p>
    <w:p w14:paraId="522AF209" w14:textId="77777777" w:rsidR="00A8170A" w:rsidRPr="00F31EAC" w:rsidRDefault="00A8170A" w:rsidP="00A55E6C">
      <w:pPr>
        <w:jc w:val="center"/>
        <w:rPr>
          <w:rFonts w:ascii="Arial" w:hAnsi="Arial" w:cs="Arial"/>
          <w:b/>
          <w:bCs/>
        </w:rPr>
      </w:pPr>
    </w:p>
    <w:p w14:paraId="1408D753" w14:textId="118D2649" w:rsidR="00A55E6C" w:rsidRPr="00F31EAC" w:rsidRDefault="00987430" w:rsidP="00A55E6C">
      <w:pPr>
        <w:jc w:val="center"/>
        <w:rPr>
          <w:rFonts w:ascii="Arial" w:hAnsi="Arial" w:cs="Arial"/>
          <w:b/>
          <w:bCs/>
        </w:rPr>
      </w:pPr>
      <w:proofErr w:type="gramStart"/>
      <w:r w:rsidRPr="00F31EAC">
        <w:rPr>
          <w:rFonts w:ascii="Arial" w:hAnsi="Arial" w:cs="Arial"/>
          <w:b/>
          <w:bCs/>
        </w:rPr>
        <w:t>(</w:t>
      </w:r>
      <w:r w:rsidR="0044407B" w:rsidRPr="00F31EAC">
        <w:rPr>
          <w:rFonts w:ascii="Arial" w:hAnsi="Arial" w:cs="Arial"/>
          <w:b/>
          <w:bCs/>
        </w:rPr>
        <w:t xml:space="preserve">  </w:t>
      </w:r>
      <w:r w:rsidR="0038340B">
        <w:rPr>
          <w:rFonts w:ascii="Arial" w:hAnsi="Arial" w:cs="Arial"/>
          <w:b/>
          <w:bCs/>
        </w:rPr>
        <w:t>Marzo</w:t>
      </w:r>
      <w:proofErr w:type="gramEnd"/>
      <w:r w:rsidR="0038340B">
        <w:rPr>
          <w:rFonts w:ascii="Arial" w:hAnsi="Arial" w:cs="Arial"/>
          <w:b/>
          <w:bCs/>
        </w:rPr>
        <w:t xml:space="preserve"> 17</w:t>
      </w:r>
      <w:r w:rsidR="00D57E29" w:rsidRPr="00F31EAC">
        <w:rPr>
          <w:rFonts w:ascii="Arial" w:hAnsi="Arial" w:cs="Arial"/>
          <w:b/>
          <w:bCs/>
        </w:rPr>
        <w:t xml:space="preserve">  )</w:t>
      </w:r>
    </w:p>
    <w:p w14:paraId="71CC3D46" w14:textId="549418C3" w:rsidR="006E2FA3" w:rsidRDefault="006E2FA3">
      <w:pPr>
        <w:rPr>
          <w:rFonts w:ascii="Arial" w:eastAsia="Arial" w:hAnsi="Arial" w:cs="Arial"/>
          <w:b/>
          <w:bCs/>
        </w:rPr>
      </w:pPr>
    </w:p>
    <w:p w14:paraId="5086D458" w14:textId="77777777" w:rsidR="00A8170A" w:rsidRDefault="00A8170A">
      <w:pPr>
        <w:rPr>
          <w:rFonts w:ascii="Arial" w:eastAsia="Arial" w:hAnsi="Arial" w:cs="Arial"/>
          <w:b/>
          <w:bCs/>
        </w:rPr>
      </w:pPr>
    </w:p>
    <w:p w14:paraId="519F6972" w14:textId="77777777" w:rsidR="00A8170A" w:rsidRPr="00F31EAC" w:rsidRDefault="00A8170A">
      <w:pPr>
        <w:rPr>
          <w:rFonts w:ascii="Arial" w:eastAsia="Arial" w:hAnsi="Arial" w:cs="Arial"/>
          <w:b/>
          <w:bCs/>
        </w:rPr>
      </w:pPr>
    </w:p>
    <w:p w14:paraId="513DE0BA" w14:textId="6F028540" w:rsidR="009D5E0B" w:rsidRPr="00F31EAC" w:rsidRDefault="00A155B3" w:rsidP="0038340B">
      <w:pPr>
        <w:tabs>
          <w:tab w:val="left" w:pos="7815"/>
        </w:tabs>
        <w:rPr>
          <w:rFonts w:ascii="Arial" w:eastAsia="Arial" w:hAnsi="Arial" w:cs="Arial"/>
        </w:rPr>
      </w:pPr>
      <w:r w:rsidRPr="00F31EAC">
        <w:rPr>
          <w:rFonts w:ascii="Arial" w:hAnsi="Arial"/>
          <w:b/>
          <w:bCs/>
        </w:rPr>
        <w:t>Señores</w:t>
      </w:r>
      <w:r w:rsidR="0038340B">
        <w:rPr>
          <w:rFonts w:ascii="Arial" w:hAnsi="Arial"/>
          <w:b/>
          <w:bCs/>
        </w:rPr>
        <w:tab/>
      </w:r>
      <w:bookmarkStart w:id="0" w:name="_GoBack"/>
      <w:bookmarkEnd w:id="0"/>
    </w:p>
    <w:p w14:paraId="64FBD8B9" w14:textId="3D4C8859" w:rsidR="00240F82" w:rsidRPr="00F31EAC" w:rsidRDefault="00240F82" w:rsidP="00240F82">
      <w:pPr>
        <w:pStyle w:val="Textoindependiente"/>
        <w:rPr>
          <w:rFonts w:ascii="Arial" w:hAnsi="Arial" w:cs="Arial"/>
          <w:color w:val="000000" w:themeColor="text1"/>
          <w:lang w:val="es-ES"/>
        </w:rPr>
      </w:pPr>
      <w:r w:rsidRPr="003A71C6">
        <w:rPr>
          <w:rFonts w:ascii="Arial" w:hAnsi="Arial" w:cs="Arial"/>
          <w:color w:val="000000" w:themeColor="text1"/>
        </w:rPr>
        <w:t>REPRESENTANTES LEGALES</w:t>
      </w:r>
      <w:r w:rsidR="00C34888">
        <w:rPr>
          <w:rFonts w:ascii="Arial" w:hAnsi="Arial" w:cs="Arial"/>
          <w:color w:val="000000" w:themeColor="text1"/>
        </w:rPr>
        <w:t xml:space="preserve"> Y REVISORES FISCALES</w:t>
      </w:r>
      <w:r w:rsidRPr="003A71C6">
        <w:rPr>
          <w:rFonts w:ascii="Arial" w:hAnsi="Arial" w:cs="Arial"/>
          <w:color w:val="000000" w:themeColor="text1"/>
        </w:rPr>
        <w:t xml:space="preserve"> DE LAS ENTIDADES VIGILADAS POR LA SUPERINTENDENCIA FINANCERA</w:t>
      </w:r>
      <w:r w:rsidRPr="003A71C6">
        <w:rPr>
          <w:rFonts w:ascii="Arial" w:hAnsi="Arial" w:cs="Arial"/>
          <w:color w:val="000000" w:themeColor="text1"/>
          <w:lang w:val="es-ES"/>
        </w:rPr>
        <w:t>.</w:t>
      </w:r>
      <w:r w:rsidRPr="00F31EAC">
        <w:rPr>
          <w:rFonts w:ascii="Arial" w:hAnsi="Arial" w:cs="Arial"/>
          <w:color w:val="000000" w:themeColor="text1"/>
          <w:lang w:val="es-ES"/>
        </w:rPr>
        <w:t xml:space="preserve"> </w:t>
      </w:r>
    </w:p>
    <w:p w14:paraId="6A4F9474" w14:textId="5F8D1633" w:rsidR="009D5E0B" w:rsidRDefault="009D5E0B" w:rsidP="003A71C6">
      <w:pPr>
        <w:ind w:left="1416" w:hanging="1416"/>
        <w:jc w:val="both"/>
        <w:rPr>
          <w:rFonts w:ascii="Arial" w:hAnsi="Arial"/>
          <w:b/>
          <w:bCs/>
          <w:lang w:val="es-ES"/>
        </w:rPr>
      </w:pPr>
    </w:p>
    <w:p w14:paraId="42998163" w14:textId="77777777" w:rsidR="00A8170A" w:rsidRPr="00F31EAC" w:rsidRDefault="00A8170A" w:rsidP="003A71C6">
      <w:pPr>
        <w:ind w:left="1416" w:hanging="1416"/>
        <w:jc w:val="both"/>
        <w:rPr>
          <w:rFonts w:ascii="Arial" w:hAnsi="Arial"/>
          <w:b/>
          <w:bCs/>
          <w:lang w:val="es-ES"/>
        </w:rPr>
      </w:pPr>
    </w:p>
    <w:p w14:paraId="5862BB8A" w14:textId="742F96A7" w:rsidR="00240F82" w:rsidRPr="00F31EAC" w:rsidRDefault="00A155B3" w:rsidP="00240F82">
      <w:pPr>
        <w:jc w:val="both"/>
        <w:rPr>
          <w:rFonts w:ascii="Arial" w:hAnsi="Arial" w:cs="Arial"/>
          <w:b/>
        </w:rPr>
      </w:pPr>
      <w:r w:rsidRPr="00F31EAC">
        <w:rPr>
          <w:rFonts w:ascii="Arial" w:hAnsi="Arial"/>
          <w:b/>
          <w:bCs/>
        </w:rPr>
        <w:t>Referencia:</w:t>
      </w:r>
      <w:r w:rsidR="00EC155C" w:rsidRPr="00F31EAC">
        <w:rPr>
          <w:rFonts w:ascii="Arial" w:hAnsi="Arial"/>
          <w:b/>
          <w:bCs/>
        </w:rPr>
        <w:t xml:space="preserve"> </w:t>
      </w:r>
      <w:r w:rsidR="00BF0AD4" w:rsidRPr="00F31EAC">
        <w:rPr>
          <w:rFonts w:ascii="Arial" w:hAnsi="Arial" w:cs="Arial"/>
          <w:b/>
        </w:rPr>
        <w:t xml:space="preserve">Instrucciones </w:t>
      </w:r>
      <w:r w:rsidR="00240F82" w:rsidRPr="00F31EAC">
        <w:rPr>
          <w:rFonts w:ascii="Arial" w:hAnsi="Arial" w:cs="Arial"/>
          <w:b/>
        </w:rPr>
        <w:t xml:space="preserve">para focalizar los esfuerzos de las entidades vigiladas </w:t>
      </w:r>
      <w:r w:rsidR="00E77108">
        <w:rPr>
          <w:rFonts w:ascii="Arial" w:hAnsi="Arial" w:cs="Arial"/>
          <w:b/>
        </w:rPr>
        <w:t xml:space="preserve">en la definición e implementación de acciones para mitigar los efectos de </w:t>
      </w:r>
      <w:r w:rsidR="00240F82" w:rsidRPr="00F31EAC">
        <w:rPr>
          <w:rFonts w:ascii="Arial" w:hAnsi="Arial" w:cs="Arial"/>
          <w:b/>
        </w:rPr>
        <w:t>la</w:t>
      </w:r>
      <w:r w:rsidR="00240F82" w:rsidRPr="00F31EAC">
        <w:rPr>
          <w:rFonts w:ascii="Arial" w:hAnsi="Arial" w:cs="Arial"/>
          <w:b/>
          <w:color w:val="000000" w:themeColor="text1"/>
        </w:rPr>
        <w:t xml:space="preserve"> coyuntura de los mercados financieros y la situación de emergencia sanitaria.</w:t>
      </w:r>
    </w:p>
    <w:p w14:paraId="437AC81C" w14:textId="5EC17E03" w:rsidR="00D57E29" w:rsidRPr="00F31EAC" w:rsidRDefault="00D57E29">
      <w:pPr>
        <w:jc w:val="both"/>
        <w:rPr>
          <w:rFonts w:ascii="Arial" w:hAnsi="Arial"/>
          <w:b/>
          <w:bCs/>
        </w:rPr>
      </w:pPr>
    </w:p>
    <w:p w14:paraId="14B5AED0" w14:textId="19002B5F" w:rsidR="00D57E29" w:rsidRPr="00F31EAC" w:rsidRDefault="00D57E29" w:rsidP="00BF0AD4">
      <w:pPr>
        <w:jc w:val="both"/>
        <w:rPr>
          <w:rFonts w:ascii="Arial" w:hAnsi="Arial"/>
          <w:b/>
          <w:bCs/>
        </w:rPr>
      </w:pPr>
    </w:p>
    <w:p w14:paraId="1007EAA3" w14:textId="77777777" w:rsidR="009D5E0B" w:rsidRPr="00F31EAC" w:rsidRDefault="00A155B3">
      <w:pPr>
        <w:jc w:val="both"/>
        <w:rPr>
          <w:rFonts w:ascii="Arial" w:eastAsia="Arial" w:hAnsi="Arial" w:cs="Arial"/>
        </w:rPr>
      </w:pPr>
      <w:r w:rsidRPr="00F31EAC">
        <w:rPr>
          <w:rFonts w:ascii="Arial" w:hAnsi="Arial"/>
        </w:rPr>
        <w:t>Apreciados señores:</w:t>
      </w:r>
    </w:p>
    <w:p w14:paraId="1AC126F7" w14:textId="77777777" w:rsidR="009D5E0B" w:rsidRPr="00F31EAC" w:rsidRDefault="009D5E0B">
      <w:pPr>
        <w:jc w:val="both"/>
        <w:rPr>
          <w:rFonts w:ascii="Arial" w:eastAsia="Arial" w:hAnsi="Arial" w:cs="Arial"/>
        </w:rPr>
      </w:pPr>
    </w:p>
    <w:p w14:paraId="7AA9E118" w14:textId="7D1C9A0F" w:rsidR="00240F82" w:rsidRPr="00F31EAC" w:rsidRDefault="007908AE" w:rsidP="00D34350">
      <w:pPr>
        <w:jc w:val="both"/>
        <w:rPr>
          <w:rFonts w:ascii="Arial" w:hAnsi="Arial" w:cs="Arial"/>
          <w:color w:val="000000" w:themeColor="text1"/>
        </w:rPr>
      </w:pPr>
      <w:bookmarkStart w:id="1" w:name="_Hlk23501899"/>
      <w:r>
        <w:rPr>
          <w:rFonts w:ascii="Arial" w:hAnsi="Arial" w:cs="Arial"/>
          <w:color w:val="000000" w:themeColor="text1"/>
        </w:rPr>
        <w:t xml:space="preserve">La coyuntura ocasionada por </w:t>
      </w:r>
      <w:r w:rsidR="00240F82" w:rsidRPr="00F31EAC">
        <w:rPr>
          <w:rFonts w:ascii="Arial" w:hAnsi="Arial" w:cs="Arial"/>
          <w:color w:val="000000" w:themeColor="text1"/>
        </w:rPr>
        <w:t>la</w:t>
      </w:r>
      <w:r>
        <w:rPr>
          <w:rFonts w:ascii="Arial" w:hAnsi="Arial" w:cs="Arial"/>
          <w:color w:val="000000" w:themeColor="text1"/>
        </w:rPr>
        <w:t xml:space="preserve"> reciente</w:t>
      </w:r>
      <w:r w:rsidR="00240F82" w:rsidRPr="00F31EAC">
        <w:rPr>
          <w:rFonts w:ascii="Arial" w:hAnsi="Arial" w:cs="Arial"/>
          <w:color w:val="000000" w:themeColor="text1"/>
        </w:rPr>
        <w:t xml:space="preserve"> emergencia sanitaria y otros choques externos requiere que las entidades vigiladas prioricen sus esfuerzos para mantener la estabilidad del sistema financiero y la confianza del público en el mismo. Por lo tanto, esta Superintendencia encuentra necesario disponer medidas de carácter transitorio tendientes a que las entidades vigiladas </w:t>
      </w:r>
      <w:r>
        <w:rPr>
          <w:rFonts w:ascii="Arial" w:hAnsi="Arial" w:cs="Arial"/>
          <w:color w:val="000000" w:themeColor="text1"/>
        </w:rPr>
        <w:t xml:space="preserve">velen prioritariamente en </w:t>
      </w:r>
      <w:r w:rsidR="00240F82" w:rsidRPr="00F31EAC">
        <w:rPr>
          <w:rFonts w:ascii="Arial" w:hAnsi="Arial" w:cs="Arial"/>
          <w:color w:val="000000" w:themeColor="text1"/>
        </w:rPr>
        <w:t xml:space="preserve">garantizar la continuidad de la prestación de los servicios financieros al público. </w:t>
      </w:r>
    </w:p>
    <w:p w14:paraId="4BC2B589" w14:textId="77777777" w:rsidR="00DC31C1" w:rsidRPr="00F31EAC" w:rsidRDefault="00DC31C1" w:rsidP="00D34350">
      <w:pPr>
        <w:jc w:val="both"/>
        <w:rPr>
          <w:rFonts w:ascii="Arial" w:hAnsi="Arial"/>
        </w:rPr>
      </w:pPr>
    </w:p>
    <w:p w14:paraId="2030B580" w14:textId="23B11079" w:rsidR="00F43F17" w:rsidRPr="00F31EAC" w:rsidRDefault="00F43F17" w:rsidP="00D34350">
      <w:pPr>
        <w:jc w:val="both"/>
        <w:rPr>
          <w:rFonts w:ascii="Arial" w:hAnsi="Arial"/>
        </w:rPr>
      </w:pPr>
      <w:r w:rsidRPr="00F31EAC">
        <w:rPr>
          <w:rFonts w:ascii="Arial" w:hAnsi="Arial"/>
        </w:rPr>
        <w:t>En consecuencia, est</w:t>
      </w:r>
      <w:r w:rsidR="00BF0AD4" w:rsidRPr="00F31EAC">
        <w:rPr>
          <w:rFonts w:ascii="Arial" w:hAnsi="Arial"/>
        </w:rPr>
        <w:t>e Despacho,</w:t>
      </w:r>
      <w:r w:rsidRPr="00F31EAC">
        <w:rPr>
          <w:rFonts w:ascii="Arial" w:hAnsi="Arial"/>
        </w:rPr>
        <w:t xml:space="preserve"> en uso de sus facultades legales y </w:t>
      </w:r>
      <w:r w:rsidR="00DC31C1" w:rsidRPr="00F31EAC">
        <w:rPr>
          <w:rFonts w:ascii="Arial" w:hAnsi="Arial"/>
        </w:rPr>
        <w:t xml:space="preserve">en especial las </w:t>
      </w:r>
      <w:r w:rsidR="00BF0AD4" w:rsidRPr="00F31EAC">
        <w:rPr>
          <w:rFonts w:ascii="Arial" w:hAnsi="Arial"/>
        </w:rPr>
        <w:t>establecidas en literal a) del numeral 3º del artículo 326 del EOSF y</w:t>
      </w:r>
      <w:r w:rsidR="00240F82" w:rsidRPr="00F31EAC">
        <w:rPr>
          <w:rFonts w:ascii="Arial" w:hAnsi="Arial"/>
        </w:rPr>
        <w:t xml:space="preserve"> los</w:t>
      </w:r>
      <w:r w:rsidR="00BF0AD4" w:rsidRPr="00F31EAC">
        <w:rPr>
          <w:rFonts w:ascii="Arial" w:hAnsi="Arial"/>
        </w:rPr>
        <w:t xml:space="preserve"> numeral</w:t>
      </w:r>
      <w:r w:rsidR="00240F82" w:rsidRPr="00F31EAC">
        <w:rPr>
          <w:rFonts w:ascii="Arial" w:hAnsi="Arial"/>
        </w:rPr>
        <w:t>es 2º y</w:t>
      </w:r>
      <w:r w:rsidR="00BF0AD4" w:rsidRPr="00F31EAC">
        <w:rPr>
          <w:rFonts w:ascii="Arial" w:hAnsi="Arial"/>
        </w:rPr>
        <w:t xml:space="preserve"> </w:t>
      </w:r>
      <w:r w:rsidR="00292ACE" w:rsidRPr="00F31EAC">
        <w:rPr>
          <w:rFonts w:ascii="Arial" w:hAnsi="Arial"/>
        </w:rPr>
        <w:t>4</w:t>
      </w:r>
      <w:r w:rsidR="00BF0AD4" w:rsidRPr="00F31EAC">
        <w:rPr>
          <w:rFonts w:ascii="Arial" w:hAnsi="Arial"/>
        </w:rPr>
        <w:t>º del artículo 11.2.1.4.2 del Decreto 2555 de 2010</w:t>
      </w:r>
      <w:r w:rsidR="00AD4726" w:rsidRPr="00F31EAC">
        <w:rPr>
          <w:rFonts w:ascii="Arial" w:hAnsi="Arial"/>
        </w:rPr>
        <w:t>,</w:t>
      </w:r>
      <w:r w:rsidR="00BF0AD4" w:rsidRPr="00F31EAC">
        <w:rPr>
          <w:rFonts w:ascii="Arial" w:hAnsi="Arial"/>
        </w:rPr>
        <w:t xml:space="preserve"> imparte las siguientes instrucciones</w:t>
      </w:r>
      <w:r w:rsidR="00C105DE" w:rsidRPr="00F31EAC">
        <w:rPr>
          <w:rFonts w:ascii="Arial" w:hAnsi="Arial"/>
        </w:rPr>
        <w:t>:</w:t>
      </w:r>
    </w:p>
    <w:p w14:paraId="5B019913" w14:textId="675A4EA2" w:rsidR="00C105DE" w:rsidRPr="00F31EAC" w:rsidRDefault="00C105DE" w:rsidP="00D34350">
      <w:pPr>
        <w:jc w:val="both"/>
        <w:rPr>
          <w:rFonts w:ascii="Arial" w:hAnsi="Arial"/>
        </w:rPr>
      </w:pPr>
    </w:p>
    <w:p w14:paraId="6F5EEF83" w14:textId="2130880D" w:rsidR="00F31EAC" w:rsidRDefault="00FB147A" w:rsidP="00D34350">
      <w:pPr>
        <w:jc w:val="both"/>
        <w:rPr>
          <w:rFonts w:ascii="Arial" w:hAnsi="Arial"/>
        </w:rPr>
      </w:pPr>
      <w:r>
        <w:rPr>
          <w:rFonts w:ascii="Arial" w:hAnsi="Arial"/>
          <w:b/>
          <w:bCs/>
        </w:rPr>
        <w:t>PRIMERA</w:t>
      </w:r>
      <w:r w:rsidR="00380459" w:rsidRPr="00F31EAC">
        <w:rPr>
          <w:rFonts w:ascii="Arial" w:hAnsi="Arial"/>
          <w:b/>
          <w:bCs/>
        </w:rPr>
        <w:t>:</w:t>
      </w:r>
      <w:r w:rsidR="00380459" w:rsidRPr="00F31EAC">
        <w:rPr>
          <w:rFonts w:ascii="Arial" w:hAnsi="Arial"/>
        </w:rPr>
        <w:t xml:space="preserve"> </w:t>
      </w:r>
      <w:r w:rsidR="00F31EAC">
        <w:rPr>
          <w:rFonts w:ascii="Arial" w:hAnsi="Arial" w:cs="Arial"/>
          <w:lang w:val="es-ES"/>
        </w:rPr>
        <w:t>Posponer</w:t>
      </w:r>
      <w:r w:rsidR="00F31EAC" w:rsidRPr="00EE3F18">
        <w:rPr>
          <w:rFonts w:ascii="Arial" w:hAnsi="Arial" w:cs="Arial"/>
          <w:lang w:val="es-ES"/>
        </w:rPr>
        <w:t xml:space="preserve"> el envío de los planes de resolución definidos en la Circular Externa 027 de 2019 solicitados a las entidades clasificadas como sistémicas en la Carta Circular 088 de 2019 hasta el mes de abril de 2021</w:t>
      </w:r>
      <w:r w:rsidR="00F31EAC">
        <w:rPr>
          <w:rFonts w:ascii="Arial" w:hAnsi="Arial" w:cs="Arial"/>
          <w:lang w:val="es-ES"/>
        </w:rPr>
        <w:t>.</w:t>
      </w:r>
    </w:p>
    <w:p w14:paraId="4642007E" w14:textId="77777777" w:rsidR="00292ACE" w:rsidRPr="00F31EAC" w:rsidRDefault="00292ACE" w:rsidP="00D34350">
      <w:pPr>
        <w:jc w:val="both"/>
        <w:rPr>
          <w:rFonts w:ascii="Arial" w:hAnsi="Arial"/>
          <w:b/>
          <w:bCs/>
        </w:rPr>
      </w:pPr>
    </w:p>
    <w:p w14:paraId="5CC69EF4" w14:textId="0E22A3BD" w:rsidR="003A71C6" w:rsidRPr="003A71C6" w:rsidRDefault="00FB147A" w:rsidP="003A71C6">
      <w:pPr>
        <w:jc w:val="both"/>
        <w:rPr>
          <w:rFonts w:ascii="Arial" w:hAnsi="Arial"/>
          <w:b/>
          <w:bCs/>
        </w:rPr>
      </w:pPr>
      <w:r>
        <w:rPr>
          <w:rFonts w:ascii="Arial" w:hAnsi="Arial" w:cs="Arial"/>
          <w:b/>
          <w:bCs/>
        </w:rPr>
        <w:t>SEGUNDA</w:t>
      </w:r>
      <w:r w:rsidR="009B582C" w:rsidRPr="00F31EAC">
        <w:rPr>
          <w:rFonts w:ascii="Arial" w:hAnsi="Arial" w:cs="Arial"/>
          <w:b/>
          <w:bCs/>
        </w:rPr>
        <w:t xml:space="preserve">: </w:t>
      </w:r>
      <w:r w:rsidR="003A71C6" w:rsidRPr="00F31EAC">
        <w:rPr>
          <w:rFonts w:ascii="Arial" w:hAnsi="Arial"/>
        </w:rPr>
        <w:t>Posponer el envío de los resultados de las pruebas de resistencia requeridas por esta Superintendencia mediante la Carta Circular 23 de 2019 hasta el último día hábil de julio de 2021. La transmisión deberá realizarse conforme a las disposiciones establecidas respecto al cálculo de la relación solvencia de los establecimientos de crédito conforme a los Decretos 1421 de 2019 y 1477 de 2018 (integrados al Decreto 2555 de 2010).</w:t>
      </w:r>
    </w:p>
    <w:p w14:paraId="4ACCDCEB" w14:textId="77777777" w:rsidR="003A71C6" w:rsidRDefault="003A71C6" w:rsidP="003A71C6">
      <w:pPr>
        <w:jc w:val="both"/>
      </w:pPr>
    </w:p>
    <w:p w14:paraId="3043FAE3" w14:textId="77777777" w:rsidR="003A71C6" w:rsidRPr="00F31EAC" w:rsidRDefault="003A71C6" w:rsidP="003A71C6">
      <w:pPr>
        <w:jc w:val="both"/>
        <w:rPr>
          <w:rFonts w:ascii="Arial" w:hAnsi="Arial" w:cs="Arial"/>
        </w:rPr>
      </w:pPr>
      <w:r w:rsidRPr="00F31EAC">
        <w:rPr>
          <w:rFonts w:ascii="Arial" w:hAnsi="Arial" w:cs="Arial"/>
        </w:rPr>
        <w:t xml:space="preserve">La información de los resultados de las pruebas de resistencia que remitirán las entidades vigiladas debe ser con corte al 31 de diciembre de 2020, e incluirá las proyecciones a 2021, 2022 y 2023, teniendo en cuenta el régimen de capital aplicable y el periodo de transición respectivo.  </w:t>
      </w:r>
    </w:p>
    <w:p w14:paraId="3AFCB64C" w14:textId="77777777" w:rsidR="003A71C6" w:rsidRPr="00F31EAC" w:rsidRDefault="003A71C6" w:rsidP="003A71C6">
      <w:pPr>
        <w:jc w:val="both"/>
        <w:rPr>
          <w:rFonts w:ascii="Arial" w:hAnsi="Arial" w:cs="Arial"/>
        </w:rPr>
      </w:pPr>
    </w:p>
    <w:p w14:paraId="68550A41" w14:textId="4DBD5DBB" w:rsidR="00153B83" w:rsidRPr="003A71C6" w:rsidRDefault="003A71C6" w:rsidP="00D34350">
      <w:pPr>
        <w:jc w:val="both"/>
        <w:rPr>
          <w:rFonts w:ascii="Arial" w:hAnsi="Arial" w:cs="Arial"/>
        </w:rPr>
      </w:pPr>
      <w:r w:rsidRPr="00F31EAC">
        <w:rPr>
          <w:rFonts w:ascii="Arial" w:hAnsi="Arial" w:cs="Arial"/>
        </w:rPr>
        <w:t>Se mantienen las instrucciones para la realización de los escenarios contempladas en la Carta Circular 23 de 2019.</w:t>
      </w:r>
    </w:p>
    <w:p w14:paraId="4F1C2D27" w14:textId="77777777" w:rsidR="00242E51" w:rsidRPr="00F31EAC" w:rsidRDefault="00242E51" w:rsidP="00D34350">
      <w:pPr>
        <w:jc w:val="both"/>
        <w:rPr>
          <w:rFonts w:ascii="Arial" w:hAnsi="Arial"/>
        </w:rPr>
      </w:pPr>
    </w:p>
    <w:p w14:paraId="6F8EE928" w14:textId="7C4C2B6E" w:rsidR="00C34888" w:rsidRDefault="00FB147A" w:rsidP="00D34350">
      <w:pPr>
        <w:jc w:val="both"/>
        <w:rPr>
          <w:rFonts w:ascii="Arial" w:hAnsi="Arial"/>
          <w:b/>
          <w:bCs/>
        </w:rPr>
      </w:pPr>
      <w:r>
        <w:rPr>
          <w:rFonts w:ascii="Arial" w:hAnsi="Arial"/>
          <w:b/>
          <w:bCs/>
        </w:rPr>
        <w:lastRenderedPageBreak/>
        <w:t>TERCERA</w:t>
      </w:r>
      <w:r w:rsidR="00A02BAC" w:rsidRPr="00F31EAC">
        <w:rPr>
          <w:rFonts w:ascii="Arial" w:hAnsi="Arial"/>
          <w:b/>
          <w:bCs/>
        </w:rPr>
        <w:t>:</w:t>
      </w:r>
      <w:r w:rsidR="00C34888">
        <w:rPr>
          <w:rFonts w:ascii="Arial" w:hAnsi="Arial"/>
          <w:b/>
          <w:bCs/>
        </w:rPr>
        <w:t xml:space="preserve"> </w:t>
      </w:r>
      <w:r w:rsidR="00C34888" w:rsidRPr="00C34888">
        <w:rPr>
          <w:rFonts w:ascii="Arial" w:hAnsi="Arial"/>
        </w:rPr>
        <w:t>Durante el período de 120 días calendario siguientes a la expedición de la presente Circular</w:t>
      </w:r>
      <w:r w:rsidR="00C34888">
        <w:rPr>
          <w:rFonts w:ascii="Arial" w:hAnsi="Arial"/>
        </w:rPr>
        <w:t xml:space="preserve">, </w:t>
      </w:r>
      <w:r w:rsidR="00C34888" w:rsidRPr="00C34888">
        <w:rPr>
          <w:rFonts w:ascii="Arial" w:hAnsi="Arial"/>
        </w:rPr>
        <w:t>se suspende el requerimiento de la realización de avalúos técnicos de las garantías idóneas</w:t>
      </w:r>
      <w:r w:rsidR="00C34888">
        <w:rPr>
          <w:rFonts w:ascii="Arial" w:hAnsi="Arial"/>
        </w:rPr>
        <w:t xml:space="preserve"> en los términos previstos en el Capítulo II de la Circular Básica Contable y Financiera.</w:t>
      </w:r>
    </w:p>
    <w:p w14:paraId="7386B619" w14:textId="797C317A" w:rsidR="007908AE" w:rsidRPr="00C34888" w:rsidRDefault="007908AE" w:rsidP="00D34350">
      <w:pPr>
        <w:jc w:val="both"/>
        <w:rPr>
          <w:rFonts w:ascii="Arial" w:hAnsi="Arial"/>
          <w:b/>
          <w:bCs/>
        </w:rPr>
      </w:pPr>
    </w:p>
    <w:p w14:paraId="433E4E0F" w14:textId="7F7B8957" w:rsidR="00C07FDE" w:rsidRPr="00F31EAC" w:rsidRDefault="00FB147A" w:rsidP="00D34350">
      <w:pPr>
        <w:jc w:val="both"/>
        <w:rPr>
          <w:rFonts w:ascii="Arial" w:hAnsi="Arial"/>
          <w:b/>
          <w:bCs/>
        </w:rPr>
      </w:pPr>
      <w:r>
        <w:rPr>
          <w:rFonts w:ascii="Arial" w:hAnsi="Arial"/>
          <w:b/>
          <w:bCs/>
        </w:rPr>
        <w:t>CUARTA</w:t>
      </w:r>
      <w:r w:rsidR="00C34888">
        <w:rPr>
          <w:rFonts w:ascii="Arial" w:hAnsi="Arial"/>
        </w:rPr>
        <w:t xml:space="preserve">: </w:t>
      </w:r>
      <w:r w:rsidR="001460F3" w:rsidRPr="00F31EAC">
        <w:rPr>
          <w:rFonts w:ascii="Arial" w:hAnsi="Arial" w:cs="Arial"/>
        </w:rPr>
        <w:t>La presente Circular rige a partir de su expedición.</w:t>
      </w:r>
    </w:p>
    <w:p w14:paraId="6260F4E8" w14:textId="77777777" w:rsidR="00F31EAC" w:rsidRPr="00F31EAC" w:rsidRDefault="00F31EAC" w:rsidP="001F70DB">
      <w:pPr>
        <w:jc w:val="both"/>
        <w:rPr>
          <w:rFonts w:ascii="Arial" w:hAnsi="Arial"/>
        </w:rPr>
      </w:pPr>
    </w:p>
    <w:bookmarkEnd w:id="1"/>
    <w:p w14:paraId="48637348" w14:textId="77777777" w:rsidR="001F70DB" w:rsidRPr="00F31EAC" w:rsidRDefault="001F70DB">
      <w:pPr>
        <w:jc w:val="both"/>
        <w:rPr>
          <w:rFonts w:ascii="Arial" w:hAnsi="Arial"/>
        </w:rPr>
      </w:pPr>
    </w:p>
    <w:p w14:paraId="2A4A6BD2" w14:textId="77777777" w:rsidR="009D5E0B" w:rsidRPr="00F31EAC" w:rsidRDefault="00A155B3">
      <w:pPr>
        <w:jc w:val="both"/>
        <w:rPr>
          <w:rFonts w:ascii="Arial" w:eastAsia="Arial" w:hAnsi="Arial" w:cs="Arial"/>
        </w:rPr>
      </w:pPr>
      <w:r w:rsidRPr="00F31EAC">
        <w:rPr>
          <w:rFonts w:ascii="Arial" w:hAnsi="Arial"/>
        </w:rPr>
        <w:t>Cordialmente,</w:t>
      </w:r>
    </w:p>
    <w:p w14:paraId="041728E4" w14:textId="77777777" w:rsidR="009D5E0B" w:rsidRPr="00F31EAC" w:rsidRDefault="009D5E0B">
      <w:pPr>
        <w:rPr>
          <w:rFonts w:ascii="Arial" w:eastAsia="Arial" w:hAnsi="Arial" w:cs="Arial"/>
          <w:b/>
          <w:bCs/>
        </w:rPr>
      </w:pPr>
    </w:p>
    <w:p w14:paraId="07885EE4" w14:textId="2E275B12" w:rsidR="009631E2" w:rsidRPr="00F31EAC" w:rsidRDefault="009631E2">
      <w:pPr>
        <w:rPr>
          <w:rFonts w:ascii="Arial" w:hAnsi="Arial"/>
          <w:b/>
          <w:bCs/>
        </w:rPr>
      </w:pPr>
    </w:p>
    <w:p w14:paraId="36DD9FE0" w14:textId="77777777" w:rsidR="006E2FA3" w:rsidRPr="00F31EAC" w:rsidRDefault="006E2FA3">
      <w:pPr>
        <w:rPr>
          <w:rFonts w:ascii="Arial" w:hAnsi="Arial"/>
          <w:b/>
          <w:bCs/>
        </w:rPr>
      </w:pPr>
    </w:p>
    <w:p w14:paraId="15ACFCD0" w14:textId="77777777" w:rsidR="009631E2" w:rsidRPr="00F31EAC" w:rsidRDefault="009631E2">
      <w:pPr>
        <w:rPr>
          <w:rFonts w:ascii="Arial" w:hAnsi="Arial"/>
          <w:b/>
          <w:bCs/>
        </w:rPr>
      </w:pPr>
    </w:p>
    <w:p w14:paraId="286B82F1" w14:textId="1D087E9B" w:rsidR="0012086A" w:rsidRPr="00F31EAC" w:rsidRDefault="00254B1E" w:rsidP="0012086A">
      <w:pPr>
        <w:rPr>
          <w:rFonts w:ascii="Arial" w:hAnsi="Arial"/>
          <w:b/>
          <w:bCs/>
        </w:rPr>
      </w:pPr>
      <w:r w:rsidRPr="00F31EAC">
        <w:rPr>
          <w:rFonts w:ascii="Arial" w:hAnsi="Arial"/>
          <w:b/>
          <w:bCs/>
        </w:rPr>
        <w:t>JORGE CASTAÑO GUTIERREZ</w:t>
      </w:r>
    </w:p>
    <w:p w14:paraId="3F8B270D" w14:textId="46CEE362" w:rsidR="0012086A" w:rsidRPr="00F31EAC" w:rsidRDefault="0012086A" w:rsidP="0012086A">
      <w:pPr>
        <w:rPr>
          <w:rFonts w:ascii="Arial" w:hAnsi="Arial"/>
        </w:rPr>
      </w:pPr>
      <w:r w:rsidRPr="00F31EAC">
        <w:rPr>
          <w:rFonts w:ascii="Arial" w:hAnsi="Arial"/>
        </w:rPr>
        <w:t xml:space="preserve">Superintendente </w:t>
      </w:r>
      <w:r w:rsidR="00254B1E" w:rsidRPr="00F31EAC">
        <w:rPr>
          <w:rFonts w:ascii="Arial" w:hAnsi="Arial"/>
        </w:rPr>
        <w:t>Financiero de Colombia</w:t>
      </w:r>
    </w:p>
    <w:p w14:paraId="70C41692" w14:textId="5B99FAA9" w:rsidR="000E095B" w:rsidRPr="00F31EAC" w:rsidRDefault="00254B1E">
      <w:r w:rsidRPr="00F31EAC">
        <w:rPr>
          <w:rFonts w:ascii="Arial" w:hAnsi="Arial"/>
        </w:rPr>
        <w:t>50000</w:t>
      </w:r>
    </w:p>
    <w:sectPr w:rsidR="000E095B" w:rsidRPr="00F31EAC" w:rsidSect="006E2FA3">
      <w:headerReference w:type="default" r:id="rId11"/>
      <w:headerReference w:type="first" r:id="rId12"/>
      <w:pgSz w:w="12240" w:h="18720" w:code="14"/>
      <w:pgMar w:top="1417" w:right="1701" w:bottom="1417" w:left="1701"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473F" w14:textId="77777777" w:rsidR="008634ED" w:rsidRDefault="008634ED">
      <w:r>
        <w:separator/>
      </w:r>
    </w:p>
  </w:endnote>
  <w:endnote w:type="continuationSeparator" w:id="0">
    <w:p w14:paraId="329E25A4" w14:textId="77777777" w:rsidR="008634ED" w:rsidRDefault="008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0B63" w14:textId="77777777" w:rsidR="008634ED" w:rsidRDefault="008634ED">
      <w:r>
        <w:separator/>
      </w:r>
    </w:p>
  </w:footnote>
  <w:footnote w:type="continuationSeparator" w:id="0">
    <w:p w14:paraId="45EF6E36" w14:textId="77777777" w:rsidR="008634ED" w:rsidRDefault="0086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56D0" w14:textId="77777777" w:rsidR="008C0012" w:rsidRDefault="008C0012">
    <w:pPr>
      <w:pStyle w:val="Encabezado"/>
      <w:jc w:val="center"/>
      <w:rPr>
        <w:rFonts w:ascii="Arial" w:eastAsia="Arial" w:hAnsi="Arial" w:cs="Arial"/>
        <w:b/>
        <w:bCs/>
      </w:rPr>
    </w:pPr>
    <w:r>
      <w:rPr>
        <w:rFonts w:ascii="Arial" w:hAnsi="Arial"/>
        <w:b/>
        <w:bCs/>
      </w:rPr>
      <w:t>SUPERINTENDENCIA FINANCIERA DE COLOMBIA</w:t>
    </w:r>
  </w:p>
  <w:p w14:paraId="2FA146B3" w14:textId="77777777" w:rsidR="008C0012" w:rsidRDefault="008C0012">
    <w:pPr>
      <w:pStyle w:val="Subttulo"/>
      <w:rPr>
        <w:rFonts w:ascii="Arial" w:eastAsia="Arial" w:hAnsi="Arial" w:cs="Arial"/>
      </w:rPr>
    </w:pPr>
  </w:p>
  <w:p w14:paraId="30749659" w14:textId="77777777" w:rsidR="006E2FA3" w:rsidRDefault="006E2FA3">
    <w:pPr>
      <w:pStyle w:val="Piedepgina"/>
      <w:rPr>
        <w:rFonts w:ascii="Arial" w:hAnsi="Arial"/>
        <w:b/>
        <w:bCs/>
        <w:sz w:val="22"/>
        <w:szCs w:val="22"/>
      </w:rPr>
    </w:pPr>
  </w:p>
  <w:p w14:paraId="59221266" w14:textId="6155EABB" w:rsidR="008C0012" w:rsidRPr="00C50D97" w:rsidRDefault="008C0012">
    <w:pPr>
      <w:pStyle w:val="Piedepgina"/>
      <w:rPr>
        <w:rFonts w:ascii="Arial" w:hAnsi="Arial"/>
        <w:b/>
        <w:bCs/>
      </w:rPr>
    </w:pPr>
    <w:r w:rsidRPr="00C50D97">
      <w:rPr>
        <w:rFonts w:ascii="Arial" w:hAnsi="Arial"/>
        <w:b/>
        <w:bCs/>
      </w:rPr>
      <w:t>C</w:t>
    </w:r>
    <w:r w:rsidR="00C50D97">
      <w:rPr>
        <w:rFonts w:ascii="Arial" w:hAnsi="Arial"/>
        <w:b/>
        <w:bCs/>
      </w:rPr>
      <w:t>ircular</w:t>
    </w:r>
    <w:r w:rsidRPr="00C50D97">
      <w:rPr>
        <w:rFonts w:ascii="Arial" w:hAnsi="Arial"/>
        <w:b/>
        <w:bCs/>
      </w:rPr>
      <w:t xml:space="preserve"> </w:t>
    </w:r>
    <w:r w:rsidR="00E002F2" w:rsidRPr="00C50D97">
      <w:rPr>
        <w:rFonts w:ascii="Arial" w:hAnsi="Arial"/>
        <w:b/>
        <w:bCs/>
      </w:rPr>
      <w:t xml:space="preserve">Externa </w:t>
    </w:r>
    <w:proofErr w:type="gramStart"/>
    <w:r w:rsidR="00E002F2" w:rsidRPr="00C50D97">
      <w:rPr>
        <w:rFonts w:ascii="Arial" w:hAnsi="Arial"/>
        <w:b/>
        <w:bCs/>
      </w:rPr>
      <w:t>00</w:t>
    </w:r>
    <w:r w:rsidR="00205282">
      <w:rPr>
        <w:rFonts w:ascii="Arial" w:hAnsi="Arial"/>
        <w:b/>
        <w:bCs/>
      </w:rPr>
      <w:t>9</w:t>
    </w:r>
    <w:r w:rsidR="00776B49" w:rsidRPr="00C50D97">
      <w:rPr>
        <w:rFonts w:ascii="Arial" w:hAnsi="Arial"/>
        <w:b/>
        <w:bCs/>
      </w:rPr>
      <w:t xml:space="preserve"> </w:t>
    </w:r>
    <w:r w:rsidR="006E2FA3" w:rsidRPr="00C50D97">
      <w:rPr>
        <w:rFonts w:ascii="Arial" w:hAnsi="Arial"/>
        <w:b/>
        <w:bCs/>
      </w:rPr>
      <w:t xml:space="preserve"> de</w:t>
    </w:r>
    <w:proofErr w:type="gramEnd"/>
    <w:r w:rsidR="006E2FA3" w:rsidRPr="00C50D97">
      <w:rPr>
        <w:rFonts w:ascii="Arial" w:hAnsi="Arial"/>
        <w:b/>
        <w:bCs/>
      </w:rPr>
      <w:t xml:space="preserve"> 20</w:t>
    </w:r>
    <w:r w:rsidR="00776B49" w:rsidRPr="00C50D97">
      <w:rPr>
        <w:rFonts w:ascii="Arial" w:hAnsi="Arial"/>
        <w:b/>
        <w:bCs/>
      </w:rPr>
      <w:t>20</w:t>
    </w:r>
    <w:r w:rsidRPr="00C50D97">
      <w:rPr>
        <w:rFonts w:ascii="Arial" w:hAnsi="Arial"/>
        <w:b/>
        <w:bCs/>
      </w:rPr>
      <w:t xml:space="preserve">                                                                 Página  </w:t>
    </w:r>
    <w:r w:rsidRPr="00C50D97">
      <w:rPr>
        <w:rFonts w:ascii="Arial" w:eastAsia="Arial" w:hAnsi="Arial" w:cs="Arial"/>
        <w:b/>
        <w:bCs/>
      </w:rPr>
      <w:fldChar w:fldCharType="begin"/>
    </w:r>
    <w:r w:rsidRPr="00C50D97">
      <w:rPr>
        <w:rFonts w:ascii="Arial" w:eastAsia="Arial" w:hAnsi="Arial" w:cs="Arial"/>
        <w:b/>
        <w:bCs/>
      </w:rPr>
      <w:instrText xml:space="preserve"> PAGE </w:instrText>
    </w:r>
    <w:r w:rsidRPr="00C50D97">
      <w:rPr>
        <w:rFonts w:ascii="Arial" w:eastAsia="Arial" w:hAnsi="Arial" w:cs="Arial"/>
        <w:b/>
        <w:bCs/>
      </w:rPr>
      <w:fldChar w:fldCharType="separate"/>
    </w:r>
    <w:r w:rsidR="006E2FA3" w:rsidRPr="00C50D97">
      <w:rPr>
        <w:rFonts w:ascii="Arial" w:eastAsia="Arial" w:hAnsi="Arial" w:cs="Arial"/>
        <w:b/>
        <w:bCs/>
        <w:noProof/>
      </w:rPr>
      <w:t>2</w:t>
    </w:r>
    <w:r w:rsidRPr="00C50D97">
      <w:rPr>
        <w:rFonts w:ascii="Arial" w:eastAsia="Arial" w:hAnsi="Arial" w:cs="Arial"/>
        <w:b/>
        <w:bCs/>
      </w:rPr>
      <w:fldChar w:fldCharType="end"/>
    </w:r>
  </w:p>
  <w:p w14:paraId="7300531B" w14:textId="1EB9C94B" w:rsidR="006E2FA3" w:rsidRDefault="006E2FA3">
    <w:pPr>
      <w:pStyle w:val="Piedepgina"/>
      <w:rPr>
        <w:rFonts w:ascii="Arial" w:eastAsia="Arial" w:hAnsi="Arial" w:cs="Arial"/>
        <w:b/>
        <w:bCs/>
        <w:sz w:val="22"/>
        <w:szCs w:val="22"/>
      </w:rPr>
    </w:pPr>
  </w:p>
  <w:p w14:paraId="586BFDAA" w14:textId="77777777" w:rsidR="006E2FA3" w:rsidRDefault="006E2FA3">
    <w:pPr>
      <w:pStyle w:val="Piedep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CD89" w14:textId="77777777" w:rsidR="008C0012" w:rsidRDefault="008C0012">
    <w:pPr>
      <w:pStyle w:val="Encabezado"/>
      <w:jc w:val="center"/>
    </w:pPr>
    <w:r>
      <w:rPr>
        <w:rFonts w:ascii="Arial" w:hAnsi="Arial"/>
        <w:b/>
        <w:bCs/>
      </w:rPr>
      <w:t>SUPERINTENDENCIA FINANCIERA DE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54613"/>
    <w:multiLevelType w:val="multilevel"/>
    <w:tmpl w:val="5606909E"/>
    <w:lvl w:ilvl="0">
      <w:start w:val="1"/>
      <w:numFmt w:val="decimal"/>
      <w:pStyle w:val="Ttulo1"/>
      <w:lvlText w:val="%1."/>
      <w:lvlJc w:val="left"/>
      <w:pPr>
        <w:tabs>
          <w:tab w:val="num" w:pos="709"/>
        </w:tabs>
        <w:ind w:left="0" w:firstLine="0"/>
      </w:pPr>
      <w:rPr>
        <w:rFonts w:hint="default"/>
        <w:b w:val="0"/>
        <w:bCs/>
      </w:rPr>
    </w:lvl>
    <w:lvl w:ilvl="1">
      <w:start w:val="1"/>
      <w:numFmt w:val="lowerLetter"/>
      <w:pStyle w:val="Ttulo2"/>
      <w:lvlText w:val="%2)"/>
      <w:lvlJc w:val="left"/>
      <w:pPr>
        <w:tabs>
          <w:tab w:val="num" w:pos="1276"/>
        </w:tabs>
        <w:ind w:left="0" w:firstLine="709"/>
      </w:pPr>
      <w:rPr>
        <w:rFonts w:hint="default"/>
      </w:rPr>
    </w:lvl>
    <w:lvl w:ilvl="2">
      <w:start w:val="1"/>
      <w:numFmt w:val="lowerRoman"/>
      <w:pStyle w:val="Ttulo3"/>
      <w:lvlText w:val="%3)"/>
      <w:lvlJc w:val="left"/>
      <w:pPr>
        <w:tabs>
          <w:tab w:val="num" w:pos="1985"/>
        </w:tabs>
        <w:ind w:left="709"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D2617C8"/>
    <w:multiLevelType w:val="hybridMultilevel"/>
    <w:tmpl w:val="13E8FD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CB4BF8"/>
    <w:multiLevelType w:val="multilevel"/>
    <w:tmpl w:val="1422BDE4"/>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B"/>
    <w:rsid w:val="00007B86"/>
    <w:rsid w:val="00016A26"/>
    <w:rsid w:val="00020D8E"/>
    <w:rsid w:val="0003333D"/>
    <w:rsid w:val="000661D6"/>
    <w:rsid w:val="000C5EAE"/>
    <w:rsid w:val="000E095B"/>
    <w:rsid w:val="000E2A94"/>
    <w:rsid w:val="000E69D1"/>
    <w:rsid w:val="000E6CB9"/>
    <w:rsid w:val="000F1A75"/>
    <w:rsid w:val="001130C1"/>
    <w:rsid w:val="00115880"/>
    <w:rsid w:val="0012086A"/>
    <w:rsid w:val="00135D00"/>
    <w:rsid w:val="00142FC5"/>
    <w:rsid w:val="001460F3"/>
    <w:rsid w:val="00146846"/>
    <w:rsid w:val="00153B83"/>
    <w:rsid w:val="00157361"/>
    <w:rsid w:val="001657F2"/>
    <w:rsid w:val="00176644"/>
    <w:rsid w:val="00191B33"/>
    <w:rsid w:val="00195AA8"/>
    <w:rsid w:val="001A43C8"/>
    <w:rsid w:val="001E0FBA"/>
    <w:rsid w:val="001E31AF"/>
    <w:rsid w:val="001F2495"/>
    <w:rsid w:val="001F70DB"/>
    <w:rsid w:val="0020169E"/>
    <w:rsid w:val="00205282"/>
    <w:rsid w:val="00206CF2"/>
    <w:rsid w:val="00211BBC"/>
    <w:rsid w:val="00217869"/>
    <w:rsid w:val="0022334B"/>
    <w:rsid w:val="00226923"/>
    <w:rsid w:val="00232BF3"/>
    <w:rsid w:val="00236621"/>
    <w:rsid w:val="00240EEC"/>
    <w:rsid w:val="00240F82"/>
    <w:rsid w:val="00242E51"/>
    <w:rsid w:val="00245505"/>
    <w:rsid w:val="00245B77"/>
    <w:rsid w:val="00254B1E"/>
    <w:rsid w:val="00262D27"/>
    <w:rsid w:val="002630E7"/>
    <w:rsid w:val="00264FBE"/>
    <w:rsid w:val="00271BD5"/>
    <w:rsid w:val="00285592"/>
    <w:rsid w:val="00286CEC"/>
    <w:rsid w:val="00287ABF"/>
    <w:rsid w:val="00292ACE"/>
    <w:rsid w:val="0029439D"/>
    <w:rsid w:val="0029574C"/>
    <w:rsid w:val="002A12FE"/>
    <w:rsid w:val="002B6B72"/>
    <w:rsid w:val="002D2931"/>
    <w:rsid w:val="002D3E65"/>
    <w:rsid w:val="002E658B"/>
    <w:rsid w:val="002F0B84"/>
    <w:rsid w:val="002F2D54"/>
    <w:rsid w:val="00310F4D"/>
    <w:rsid w:val="00312506"/>
    <w:rsid w:val="00313EB9"/>
    <w:rsid w:val="003315DF"/>
    <w:rsid w:val="003319FD"/>
    <w:rsid w:val="00336530"/>
    <w:rsid w:val="00337AA5"/>
    <w:rsid w:val="00350850"/>
    <w:rsid w:val="00351F93"/>
    <w:rsid w:val="00357BB2"/>
    <w:rsid w:val="003800FF"/>
    <w:rsid w:val="00380459"/>
    <w:rsid w:val="0038326A"/>
    <w:rsid w:val="0038340B"/>
    <w:rsid w:val="00387240"/>
    <w:rsid w:val="003A3CE3"/>
    <w:rsid w:val="003A71C6"/>
    <w:rsid w:val="003B482A"/>
    <w:rsid w:val="003C52E5"/>
    <w:rsid w:val="003C7C91"/>
    <w:rsid w:val="003E06FF"/>
    <w:rsid w:val="003E41A2"/>
    <w:rsid w:val="00407AAA"/>
    <w:rsid w:val="00410202"/>
    <w:rsid w:val="004232B6"/>
    <w:rsid w:val="00443264"/>
    <w:rsid w:val="0044407B"/>
    <w:rsid w:val="004514BB"/>
    <w:rsid w:val="004613D6"/>
    <w:rsid w:val="00472162"/>
    <w:rsid w:val="00472E53"/>
    <w:rsid w:val="00482919"/>
    <w:rsid w:val="00482E5C"/>
    <w:rsid w:val="0048709F"/>
    <w:rsid w:val="00494F34"/>
    <w:rsid w:val="004A3D26"/>
    <w:rsid w:val="004B76F2"/>
    <w:rsid w:val="004C6CDE"/>
    <w:rsid w:val="004D3C0E"/>
    <w:rsid w:val="004D46E1"/>
    <w:rsid w:val="004D5834"/>
    <w:rsid w:val="004D7710"/>
    <w:rsid w:val="004D7BCD"/>
    <w:rsid w:val="004E1ABE"/>
    <w:rsid w:val="004F5B33"/>
    <w:rsid w:val="004F71E0"/>
    <w:rsid w:val="00500A21"/>
    <w:rsid w:val="00501ECE"/>
    <w:rsid w:val="005072D7"/>
    <w:rsid w:val="00522EF6"/>
    <w:rsid w:val="005460AD"/>
    <w:rsid w:val="005800DA"/>
    <w:rsid w:val="00580837"/>
    <w:rsid w:val="005A27ED"/>
    <w:rsid w:val="005A4A22"/>
    <w:rsid w:val="005A605B"/>
    <w:rsid w:val="005B5872"/>
    <w:rsid w:val="005E0D0E"/>
    <w:rsid w:val="005E1858"/>
    <w:rsid w:val="005E3409"/>
    <w:rsid w:val="005F368D"/>
    <w:rsid w:val="005F44B4"/>
    <w:rsid w:val="005F4DE2"/>
    <w:rsid w:val="005F5CDF"/>
    <w:rsid w:val="00634D29"/>
    <w:rsid w:val="006427F8"/>
    <w:rsid w:val="00647A9E"/>
    <w:rsid w:val="00654737"/>
    <w:rsid w:val="00656405"/>
    <w:rsid w:val="006569A8"/>
    <w:rsid w:val="0067656A"/>
    <w:rsid w:val="00687E86"/>
    <w:rsid w:val="0069474E"/>
    <w:rsid w:val="00694B2F"/>
    <w:rsid w:val="006E0DA7"/>
    <w:rsid w:val="006E1537"/>
    <w:rsid w:val="006E2FA3"/>
    <w:rsid w:val="006E65B8"/>
    <w:rsid w:val="006F1886"/>
    <w:rsid w:val="00700F3B"/>
    <w:rsid w:val="00710FCF"/>
    <w:rsid w:val="0071527A"/>
    <w:rsid w:val="00725445"/>
    <w:rsid w:val="00730B67"/>
    <w:rsid w:val="0074108A"/>
    <w:rsid w:val="00755C6E"/>
    <w:rsid w:val="0075634F"/>
    <w:rsid w:val="00762129"/>
    <w:rsid w:val="00776B49"/>
    <w:rsid w:val="00780292"/>
    <w:rsid w:val="00781C09"/>
    <w:rsid w:val="007908AE"/>
    <w:rsid w:val="007A633B"/>
    <w:rsid w:val="007C1A8B"/>
    <w:rsid w:val="007C1AAD"/>
    <w:rsid w:val="007E02EC"/>
    <w:rsid w:val="007F3AA0"/>
    <w:rsid w:val="00803AE2"/>
    <w:rsid w:val="008138D1"/>
    <w:rsid w:val="00832239"/>
    <w:rsid w:val="008356C2"/>
    <w:rsid w:val="0084592B"/>
    <w:rsid w:val="00854344"/>
    <w:rsid w:val="008634ED"/>
    <w:rsid w:val="00872DE8"/>
    <w:rsid w:val="008A2A59"/>
    <w:rsid w:val="008A2CEC"/>
    <w:rsid w:val="008A5F37"/>
    <w:rsid w:val="008B1E91"/>
    <w:rsid w:val="008B29C7"/>
    <w:rsid w:val="008B34B2"/>
    <w:rsid w:val="008B68F7"/>
    <w:rsid w:val="008C0012"/>
    <w:rsid w:val="008C297F"/>
    <w:rsid w:val="008C62DB"/>
    <w:rsid w:val="008C6A64"/>
    <w:rsid w:val="008D5912"/>
    <w:rsid w:val="008F5723"/>
    <w:rsid w:val="00950454"/>
    <w:rsid w:val="00955CDE"/>
    <w:rsid w:val="009631E2"/>
    <w:rsid w:val="009661E5"/>
    <w:rsid w:val="00966D60"/>
    <w:rsid w:val="00967FF4"/>
    <w:rsid w:val="00972742"/>
    <w:rsid w:val="00974B34"/>
    <w:rsid w:val="00987430"/>
    <w:rsid w:val="0099164A"/>
    <w:rsid w:val="00992095"/>
    <w:rsid w:val="00993D06"/>
    <w:rsid w:val="009A16B8"/>
    <w:rsid w:val="009A2466"/>
    <w:rsid w:val="009A3E31"/>
    <w:rsid w:val="009B582C"/>
    <w:rsid w:val="009C0358"/>
    <w:rsid w:val="009C2E6F"/>
    <w:rsid w:val="009D5124"/>
    <w:rsid w:val="009D5E0B"/>
    <w:rsid w:val="009E6CCC"/>
    <w:rsid w:val="009E7C9B"/>
    <w:rsid w:val="00A02BAC"/>
    <w:rsid w:val="00A155B3"/>
    <w:rsid w:val="00A249E5"/>
    <w:rsid w:val="00A30A14"/>
    <w:rsid w:val="00A30E60"/>
    <w:rsid w:val="00A31C94"/>
    <w:rsid w:val="00A34FF4"/>
    <w:rsid w:val="00A41938"/>
    <w:rsid w:val="00A4787A"/>
    <w:rsid w:val="00A5496E"/>
    <w:rsid w:val="00A55E6C"/>
    <w:rsid w:val="00A63377"/>
    <w:rsid w:val="00A6344E"/>
    <w:rsid w:val="00A67CB4"/>
    <w:rsid w:val="00A8170A"/>
    <w:rsid w:val="00A82958"/>
    <w:rsid w:val="00A9438C"/>
    <w:rsid w:val="00A9660B"/>
    <w:rsid w:val="00AA25F9"/>
    <w:rsid w:val="00AA6936"/>
    <w:rsid w:val="00AD1C0B"/>
    <w:rsid w:val="00AD2CA4"/>
    <w:rsid w:val="00AD4726"/>
    <w:rsid w:val="00AE503B"/>
    <w:rsid w:val="00AF12A1"/>
    <w:rsid w:val="00AF5F0E"/>
    <w:rsid w:val="00B0396D"/>
    <w:rsid w:val="00B07190"/>
    <w:rsid w:val="00B303E3"/>
    <w:rsid w:val="00B31FF2"/>
    <w:rsid w:val="00B41781"/>
    <w:rsid w:val="00B50BFF"/>
    <w:rsid w:val="00B67D81"/>
    <w:rsid w:val="00B731EC"/>
    <w:rsid w:val="00B80384"/>
    <w:rsid w:val="00B83470"/>
    <w:rsid w:val="00B904AA"/>
    <w:rsid w:val="00BA00C2"/>
    <w:rsid w:val="00BB29AE"/>
    <w:rsid w:val="00BC7841"/>
    <w:rsid w:val="00BD174A"/>
    <w:rsid w:val="00BD1B2B"/>
    <w:rsid w:val="00BD3EA5"/>
    <w:rsid w:val="00BE317C"/>
    <w:rsid w:val="00BE5FF2"/>
    <w:rsid w:val="00BE7887"/>
    <w:rsid w:val="00BF0AD4"/>
    <w:rsid w:val="00C07735"/>
    <w:rsid w:val="00C07FDE"/>
    <w:rsid w:val="00C105DE"/>
    <w:rsid w:val="00C22E3A"/>
    <w:rsid w:val="00C23630"/>
    <w:rsid w:val="00C34888"/>
    <w:rsid w:val="00C424B4"/>
    <w:rsid w:val="00C50D97"/>
    <w:rsid w:val="00C571D7"/>
    <w:rsid w:val="00C7076A"/>
    <w:rsid w:val="00C825CF"/>
    <w:rsid w:val="00C83190"/>
    <w:rsid w:val="00C84F67"/>
    <w:rsid w:val="00CA31E0"/>
    <w:rsid w:val="00CA32D8"/>
    <w:rsid w:val="00CC605B"/>
    <w:rsid w:val="00CD3E5A"/>
    <w:rsid w:val="00CE38FC"/>
    <w:rsid w:val="00CE6E33"/>
    <w:rsid w:val="00D00F85"/>
    <w:rsid w:val="00D1684B"/>
    <w:rsid w:val="00D2509A"/>
    <w:rsid w:val="00D30BA3"/>
    <w:rsid w:val="00D34158"/>
    <w:rsid w:val="00D34350"/>
    <w:rsid w:val="00D35618"/>
    <w:rsid w:val="00D44911"/>
    <w:rsid w:val="00D5709C"/>
    <w:rsid w:val="00D57E29"/>
    <w:rsid w:val="00D60C83"/>
    <w:rsid w:val="00D744E0"/>
    <w:rsid w:val="00D76526"/>
    <w:rsid w:val="00D76ED7"/>
    <w:rsid w:val="00DC31C1"/>
    <w:rsid w:val="00DE0509"/>
    <w:rsid w:val="00E00227"/>
    <w:rsid w:val="00E002F2"/>
    <w:rsid w:val="00E02975"/>
    <w:rsid w:val="00E05E0B"/>
    <w:rsid w:val="00E53DAA"/>
    <w:rsid w:val="00E77108"/>
    <w:rsid w:val="00E84A9A"/>
    <w:rsid w:val="00E852B6"/>
    <w:rsid w:val="00E8611A"/>
    <w:rsid w:val="00E91A67"/>
    <w:rsid w:val="00EA3E13"/>
    <w:rsid w:val="00EC0AAC"/>
    <w:rsid w:val="00EC155C"/>
    <w:rsid w:val="00ED74B9"/>
    <w:rsid w:val="00EF53B9"/>
    <w:rsid w:val="00EF6934"/>
    <w:rsid w:val="00F12B6B"/>
    <w:rsid w:val="00F144A2"/>
    <w:rsid w:val="00F241BB"/>
    <w:rsid w:val="00F31EAC"/>
    <w:rsid w:val="00F41C6A"/>
    <w:rsid w:val="00F43F17"/>
    <w:rsid w:val="00F5481E"/>
    <w:rsid w:val="00F55914"/>
    <w:rsid w:val="00F62F38"/>
    <w:rsid w:val="00F63611"/>
    <w:rsid w:val="00F6516C"/>
    <w:rsid w:val="00F67F5B"/>
    <w:rsid w:val="00F75152"/>
    <w:rsid w:val="00F82342"/>
    <w:rsid w:val="00F91569"/>
    <w:rsid w:val="00F94B22"/>
    <w:rsid w:val="00FA3CF4"/>
    <w:rsid w:val="00FB147A"/>
    <w:rsid w:val="00FB2320"/>
    <w:rsid w:val="00FB6825"/>
    <w:rsid w:val="00FC435E"/>
    <w:rsid w:val="00FD6303"/>
    <w:rsid w:val="00FD7034"/>
    <w:rsid w:val="00FE7145"/>
    <w:rsid w:val="00FF0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3679"/>
  <w15:docId w15:val="{12F8F526-20E5-4BC5-B0CC-15E9E774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rFonts w:eastAsia="Times New Roman"/>
      <w:color w:val="000000"/>
      <w:sz w:val="24"/>
      <w:szCs w:val="24"/>
      <w:u w:color="000000"/>
      <w:lang w:val="es-ES_tradnl"/>
    </w:rPr>
  </w:style>
  <w:style w:type="paragraph" w:styleId="Ttulo1">
    <w:name w:val="heading 1"/>
    <w:basedOn w:val="Normal"/>
    <w:next w:val="Normal"/>
    <w:link w:val="Ttulo1Car"/>
    <w:uiPriority w:val="9"/>
    <w:qFormat/>
    <w:rsid w:val="00F31EAC"/>
    <w:pPr>
      <w:widowControl w:val="0"/>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0"/>
    </w:pPr>
    <w:rPr>
      <w:rFonts w:ascii="Arial" w:eastAsiaTheme="majorEastAsia" w:hAnsi="Arial" w:cstheme="majorBidi"/>
      <w:color w:val="auto"/>
      <w:szCs w:val="32"/>
      <w:bdr w:val="none" w:sz="0" w:space="0" w:color="auto"/>
      <w:lang w:eastAsia="es-ES"/>
    </w:rPr>
  </w:style>
  <w:style w:type="paragraph" w:styleId="Ttulo2">
    <w:name w:val="heading 2"/>
    <w:basedOn w:val="Normal"/>
    <w:next w:val="Normal"/>
    <w:link w:val="Ttulo2Car"/>
    <w:uiPriority w:val="9"/>
    <w:unhideWhenUsed/>
    <w:qFormat/>
    <w:rsid w:val="00F31EAC"/>
    <w:pPr>
      <w:widowControl w:val="0"/>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1"/>
    </w:pPr>
    <w:rPr>
      <w:rFonts w:ascii="Arial" w:eastAsiaTheme="majorEastAsia" w:hAnsi="Arial" w:cstheme="majorBidi"/>
      <w:color w:val="auto"/>
      <w:szCs w:val="26"/>
      <w:bdr w:val="none" w:sz="0" w:space="0" w:color="auto"/>
      <w:lang w:eastAsia="es-ES"/>
    </w:rPr>
  </w:style>
  <w:style w:type="paragraph" w:styleId="Ttulo3">
    <w:name w:val="heading 3"/>
    <w:basedOn w:val="Normal"/>
    <w:next w:val="Normal"/>
    <w:link w:val="Ttulo3Car"/>
    <w:uiPriority w:val="9"/>
    <w:unhideWhenUsed/>
    <w:qFormat/>
    <w:rsid w:val="00F31EAC"/>
    <w:pPr>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outlineLvl w:val="2"/>
    </w:pPr>
    <w:rPr>
      <w:rFonts w:ascii="Arial" w:eastAsiaTheme="majorEastAsia" w:hAnsi="Arial" w:cstheme="majorBidi"/>
      <w:color w:val="auto"/>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cs="Arial Unicode MS"/>
      <w:color w:val="000000"/>
      <w:sz w:val="24"/>
      <w:szCs w:val="24"/>
      <w:u w:color="000000"/>
      <w:lang w:val="es-ES_tradnl"/>
    </w:rPr>
  </w:style>
  <w:style w:type="paragraph" w:styleId="Subttulo">
    <w:name w:val="Subtitle"/>
    <w:pPr>
      <w:widowControl w:val="0"/>
      <w:jc w:val="center"/>
    </w:pPr>
    <w:rPr>
      <w:rFonts w:ascii="Cambria" w:eastAsia="Cambria" w:hAnsi="Cambria" w:cs="Cambria"/>
      <w:color w:val="000000"/>
      <w:sz w:val="24"/>
      <w:szCs w:val="24"/>
      <w:u w:color="000000"/>
      <w:lang w:val="es-ES_tradnl"/>
    </w:rPr>
  </w:style>
  <w:style w:type="paragraph" w:styleId="Piedepgina">
    <w:name w:val="footer"/>
    <w:pPr>
      <w:tabs>
        <w:tab w:val="center" w:pos="4419"/>
        <w:tab w:val="right" w:pos="8838"/>
      </w:tabs>
    </w:pPr>
    <w:rPr>
      <w:rFonts w:cs="Arial Unicode MS"/>
      <w:color w:val="000000"/>
      <w:sz w:val="24"/>
      <w:szCs w:val="24"/>
      <w:u w:color="000000"/>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styleId="Textoindependiente">
    <w:name w:val="Body Text"/>
    <w:pPr>
      <w:jc w:val="both"/>
    </w:pPr>
    <w:rPr>
      <w:rFonts w:eastAsia="Times New Roman"/>
      <w:color w:val="000000"/>
      <w:sz w:val="24"/>
      <w:szCs w:val="24"/>
      <w:u w:color="000000"/>
      <w:lang w:val="es-ES_tradnl"/>
    </w:rPr>
  </w:style>
  <w:style w:type="paragraph" w:styleId="Textodeglobo">
    <w:name w:val="Balloon Text"/>
    <w:basedOn w:val="Normal"/>
    <w:link w:val="TextodegloboCar"/>
    <w:uiPriority w:val="99"/>
    <w:semiHidden/>
    <w:unhideWhenUsed/>
    <w:rsid w:val="008B68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8F7"/>
    <w:rPr>
      <w:rFonts w:ascii="Segoe UI" w:eastAsia="Times New Roman" w:hAnsi="Segoe UI" w:cs="Segoe UI"/>
      <w:color w:val="000000"/>
      <w:sz w:val="18"/>
      <w:szCs w:val="18"/>
      <w:u w:color="000000"/>
      <w:lang w:val="es-ES_tradnl"/>
    </w:rPr>
  </w:style>
  <w:style w:type="character" w:styleId="Refdecomentario">
    <w:name w:val="annotation reference"/>
    <w:basedOn w:val="Fuentedeprrafopredeter"/>
    <w:uiPriority w:val="99"/>
    <w:semiHidden/>
    <w:unhideWhenUsed/>
    <w:rsid w:val="009E6CCC"/>
    <w:rPr>
      <w:sz w:val="16"/>
      <w:szCs w:val="16"/>
    </w:rPr>
  </w:style>
  <w:style w:type="paragraph" w:styleId="Textocomentario">
    <w:name w:val="annotation text"/>
    <w:basedOn w:val="Normal"/>
    <w:link w:val="TextocomentarioCar"/>
    <w:uiPriority w:val="99"/>
    <w:semiHidden/>
    <w:unhideWhenUsed/>
    <w:rsid w:val="009E6CCC"/>
    <w:rPr>
      <w:sz w:val="20"/>
      <w:szCs w:val="20"/>
    </w:rPr>
  </w:style>
  <w:style w:type="character" w:customStyle="1" w:styleId="TextocomentarioCar">
    <w:name w:val="Texto comentario Car"/>
    <w:basedOn w:val="Fuentedeprrafopredeter"/>
    <w:link w:val="Textocomentario"/>
    <w:uiPriority w:val="99"/>
    <w:semiHidden/>
    <w:rsid w:val="009E6CCC"/>
    <w:rPr>
      <w:rFonts w:eastAsia="Times New Roman"/>
      <w:color w:val="000000"/>
      <w:u w:color="000000"/>
      <w:lang w:val="es-ES_tradnl"/>
    </w:rPr>
  </w:style>
  <w:style w:type="paragraph" w:styleId="Asuntodelcomentario">
    <w:name w:val="annotation subject"/>
    <w:basedOn w:val="Textocomentario"/>
    <w:next w:val="Textocomentario"/>
    <w:link w:val="AsuntodelcomentarioCar"/>
    <w:uiPriority w:val="99"/>
    <w:semiHidden/>
    <w:unhideWhenUsed/>
    <w:rsid w:val="009E6CCC"/>
    <w:rPr>
      <w:b/>
      <w:bCs/>
    </w:rPr>
  </w:style>
  <w:style w:type="character" w:customStyle="1" w:styleId="AsuntodelcomentarioCar">
    <w:name w:val="Asunto del comentario Car"/>
    <w:basedOn w:val="TextocomentarioCar"/>
    <w:link w:val="Asuntodelcomentario"/>
    <w:uiPriority w:val="99"/>
    <w:semiHidden/>
    <w:rsid w:val="009E6CCC"/>
    <w:rPr>
      <w:rFonts w:eastAsia="Times New Roman"/>
      <w:b/>
      <w:bCs/>
      <w:color w:val="000000"/>
      <w:u w:color="000000"/>
      <w:lang w:val="es-ES_tradnl"/>
    </w:rPr>
  </w:style>
  <w:style w:type="paragraph" w:styleId="Prrafodelista">
    <w:name w:val="List Paragraph"/>
    <w:basedOn w:val="Normal"/>
    <w:uiPriority w:val="34"/>
    <w:qFormat/>
    <w:rsid w:val="005A4A22"/>
    <w:pPr>
      <w:ind w:left="720"/>
      <w:contextualSpacing/>
    </w:pPr>
  </w:style>
  <w:style w:type="character" w:customStyle="1" w:styleId="Ninguno">
    <w:name w:val="Ninguno"/>
    <w:rsid w:val="00F144A2"/>
    <w:rPr>
      <w:lang w:val="es-ES_tradnl"/>
    </w:rPr>
  </w:style>
  <w:style w:type="character" w:customStyle="1" w:styleId="Ttulo1Car">
    <w:name w:val="Título 1 Car"/>
    <w:basedOn w:val="Fuentedeprrafopredeter"/>
    <w:link w:val="Ttulo1"/>
    <w:uiPriority w:val="9"/>
    <w:rsid w:val="00F31EAC"/>
    <w:rPr>
      <w:rFonts w:ascii="Arial" w:eastAsiaTheme="majorEastAsia" w:hAnsi="Arial" w:cstheme="majorBidi"/>
      <w:sz w:val="24"/>
      <w:szCs w:val="32"/>
      <w:bdr w:val="none" w:sz="0" w:space="0" w:color="auto"/>
      <w:lang w:val="es-ES_tradnl" w:eastAsia="es-ES"/>
    </w:rPr>
  </w:style>
  <w:style w:type="character" w:customStyle="1" w:styleId="Ttulo2Car">
    <w:name w:val="Título 2 Car"/>
    <w:basedOn w:val="Fuentedeprrafopredeter"/>
    <w:link w:val="Ttulo2"/>
    <w:uiPriority w:val="9"/>
    <w:rsid w:val="00F31EAC"/>
    <w:rPr>
      <w:rFonts w:ascii="Arial" w:eastAsiaTheme="majorEastAsia" w:hAnsi="Arial" w:cstheme="majorBidi"/>
      <w:sz w:val="24"/>
      <w:szCs w:val="26"/>
      <w:bdr w:val="none" w:sz="0" w:space="0" w:color="auto"/>
      <w:lang w:val="es-ES_tradnl" w:eastAsia="es-ES"/>
    </w:rPr>
  </w:style>
  <w:style w:type="character" w:customStyle="1" w:styleId="Ttulo3Car">
    <w:name w:val="Título 3 Car"/>
    <w:basedOn w:val="Fuentedeprrafopredeter"/>
    <w:link w:val="Ttulo3"/>
    <w:uiPriority w:val="9"/>
    <w:rsid w:val="00F31EAC"/>
    <w:rPr>
      <w:rFonts w:ascii="Arial" w:eastAsiaTheme="majorEastAsia" w:hAnsi="Arial" w:cstheme="majorBidi"/>
      <w:sz w:val="24"/>
      <w:szCs w:val="24"/>
      <w:bdr w:val="none" w:sz="0" w:space="0" w:color="auto"/>
      <w:lang w:val="es-ES_tradnl" w:eastAsia="es-ES"/>
    </w:rPr>
  </w:style>
  <w:style w:type="character" w:customStyle="1" w:styleId="normaltextrun1">
    <w:name w:val="normaltextrun1"/>
    <w:rsid w:val="00F31EAC"/>
  </w:style>
  <w:style w:type="character" w:customStyle="1" w:styleId="eop">
    <w:name w:val="eop"/>
    <w:rsid w:val="00F3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9217">
      <w:bodyDiv w:val="1"/>
      <w:marLeft w:val="0"/>
      <w:marRight w:val="0"/>
      <w:marTop w:val="0"/>
      <w:marBottom w:val="0"/>
      <w:divBdr>
        <w:top w:val="none" w:sz="0" w:space="0" w:color="auto"/>
        <w:left w:val="none" w:sz="0" w:space="0" w:color="auto"/>
        <w:bottom w:val="none" w:sz="0" w:space="0" w:color="auto"/>
        <w:right w:val="none" w:sz="0" w:space="0" w:color="auto"/>
      </w:divBdr>
    </w:div>
    <w:div w:id="163023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DCB41B19E9E43B9699326CA05ACF3" ma:contentTypeVersion="5" ma:contentTypeDescription="Create a new document." ma:contentTypeScope="" ma:versionID="7c5c4198a714cd970a948955cfeb21db">
  <xsd:schema xmlns:xsd="http://www.w3.org/2001/XMLSchema" xmlns:xs="http://www.w3.org/2001/XMLSchema" xmlns:p="http://schemas.microsoft.com/office/2006/metadata/properties" xmlns:ns3="ca09224b-7910-45be-bc63-6f665945ac2a" xmlns:ns4="78f083cc-3229-44e8-a008-91f81589aed3" targetNamespace="http://schemas.microsoft.com/office/2006/metadata/properties" ma:root="true" ma:fieldsID="70bd4c5e8f2ed45b1085c0da1f0cf81b" ns3:_="" ns4:_="">
    <xsd:import namespace="ca09224b-7910-45be-bc63-6f665945ac2a"/>
    <xsd:import namespace="78f083cc-3229-44e8-a008-91f81589ae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9224b-7910-45be-bc63-6f665945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f083cc-3229-44e8-a008-91f81589a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AB41A-B0D5-471F-8EFE-815439C57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112D5-A2A3-4634-B7B9-075F9BD362D4}">
  <ds:schemaRefs>
    <ds:schemaRef ds:uri="http://schemas.microsoft.com/sharepoint/v3/contenttype/forms"/>
  </ds:schemaRefs>
</ds:datastoreItem>
</file>

<file path=customXml/itemProps3.xml><?xml version="1.0" encoding="utf-8"?>
<ds:datastoreItem xmlns:ds="http://schemas.openxmlformats.org/officeDocument/2006/customXml" ds:itemID="{5B516264-1B5A-43DB-AACA-61EF12DF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9224b-7910-45be-bc63-6f665945ac2a"/>
    <ds:schemaRef ds:uri="78f083cc-3229-44e8-a008-91f81589a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BE76F-4661-4C4B-90ED-330FD341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superfinanciera</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Ariel Fernando Solarte Castro</dc:creator>
  <cp:lastModifiedBy>Gabriel Armando Ospina Garcia</cp:lastModifiedBy>
  <cp:revision>3</cp:revision>
  <cp:lastPrinted>2020-02-28T20:19:00Z</cp:lastPrinted>
  <dcterms:created xsi:type="dcterms:W3CDTF">2020-03-18T00:09:00Z</dcterms:created>
  <dcterms:modified xsi:type="dcterms:W3CDTF">2020-03-18T01:05:00Z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0x010100834DCB41B19E9E43B9699326CA05ACF3</vt:lpwstr>
  </property>
</Properties>
</file>